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212D" w14:textId="3432387E" w:rsidR="00A24114" w:rsidRDefault="00A24114" w:rsidP="00810C75">
      <w:pPr>
        <w:rPr>
          <w:rFonts w:ascii="Arial" w:hAnsi="Arial" w:cs="Arial"/>
          <w:sz w:val="20"/>
          <w:szCs w:val="20"/>
        </w:rPr>
      </w:pPr>
    </w:p>
    <w:p w14:paraId="10ED0C9F" w14:textId="7BA45656" w:rsidR="00125664" w:rsidRPr="00A24114" w:rsidRDefault="00125664" w:rsidP="00810C75">
      <w:pPr>
        <w:rPr>
          <w:rFonts w:ascii="Arial" w:hAnsi="Arial" w:cs="Arial"/>
          <w:sz w:val="20"/>
          <w:szCs w:val="20"/>
        </w:rPr>
      </w:pPr>
      <w:r w:rsidRPr="00A24114">
        <w:rPr>
          <w:rFonts w:ascii="Arial" w:hAnsi="Arial" w:cs="Arial"/>
          <w:sz w:val="20"/>
          <w:szCs w:val="20"/>
        </w:rPr>
        <w:t xml:space="preserve">April </w:t>
      </w:r>
      <w:r w:rsidR="008D0AD1" w:rsidRPr="00A24114">
        <w:rPr>
          <w:rFonts w:ascii="Arial" w:hAnsi="Arial" w:cs="Arial"/>
          <w:sz w:val="20"/>
          <w:szCs w:val="20"/>
        </w:rPr>
        <w:t>2</w:t>
      </w:r>
      <w:r w:rsidR="0075590E">
        <w:rPr>
          <w:rFonts w:ascii="Arial" w:hAnsi="Arial" w:cs="Arial"/>
          <w:sz w:val="20"/>
          <w:szCs w:val="20"/>
        </w:rPr>
        <w:t>5</w:t>
      </w:r>
      <w:r w:rsidR="008D0AD1" w:rsidRPr="00A24114">
        <w:rPr>
          <w:rFonts w:ascii="Arial" w:hAnsi="Arial" w:cs="Arial"/>
          <w:sz w:val="20"/>
          <w:szCs w:val="20"/>
        </w:rPr>
        <w:t>,</w:t>
      </w:r>
      <w:r w:rsidRPr="00A24114">
        <w:rPr>
          <w:rFonts w:ascii="Arial" w:hAnsi="Arial" w:cs="Arial"/>
          <w:sz w:val="20"/>
          <w:szCs w:val="20"/>
        </w:rPr>
        <w:t xml:space="preserve"> 2025</w:t>
      </w:r>
      <w:r w:rsidR="007528E8" w:rsidRPr="00A24114">
        <w:rPr>
          <w:rFonts w:ascii="Arial" w:hAnsi="Arial" w:cs="Arial"/>
          <w:sz w:val="20"/>
          <w:szCs w:val="20"/>
        </w:rPr>
        <w:t xml:space="preserve">, </w:t>
      </w:r>
    </w:p>
    <w:p w14:paraId="089EB821" w14:textId="4CF5E8B4" w:rsidR="00434D20" w:rsidRPr="00A24114" w:rsidRDefault="004C71D3" w:rsidP="00810C75">
      <w:pPr>
        <w:rPr>
          <w:rFonts w:ascii="Arial" w:hAnsi="Arial" w:cs="Arial"/>
          <w:sz w:val="20"/>
          <w:szCs w:val="20"/>
        </w:rPr>
      </w:pPr>
      <w:r w:rsidRPr="00A24114">
        <w:rPr>
          <w:rFonts w:ascii="Arial" w:hAnsi="Arial" w:cs="Arial"/>
          <w:sz w:val="20"/>
          <w:szCs w:val="20"/>
        </w:rPr>
        <w:t xml:space="preserve">Attention Retail Food </w:t>
      </w:r>
      <w:r w:rsidR="00B73A78" w:rsidRPr="00A24114">
        <w:rPr>
          <w:rFonts w:ascii="Arial" w:hAnsi="Arial" w:cs="Arial"/>
          <w:sz w:val="20"/>
          <w:szCs w:val="20"/>
        </w:rPr>
        <w:t>Establishment Operators</w:t>
      </w:r>
      <w:r w:rsidRPr="00A24114">
        <w:rPr>
          <w:rFonts w:ascii="Arial" w:hAnsi="Arial" w:cs="Arial"/>
          <w:sz w:val="20"/>
          <w:szCs w:val="20"/>
        </w:rPr>
        <w:t xml:space="preserve"> and Owners,</w:t>
      </w:r>
    </w:p>
    <w:p w14:paraId="474F1EE4" w14:textId="4AF4CD66" w:rsidR="008D0AD1" w:rsidRPr="00A24114" w:rsidRDefault="008D0AD1" w:rsidP="008D0AD1">
      <w:pPr>
        <w:rPr>
          <w:rFonts w:ascii="Arial" w:hAnsi="Arial" w:cs="Arial"/>
          <w:sz w:val="20"/>
          <w:szCs w:val="20"/>
        </w:rPr>
      </w:pPr>
      <w:r w:rsidRPr="008D0AD1">
        <w:rPr>
          <w:rFonts w:ascii="Arial" w:hAnsi="Arial" w:cs="Arial"/>
          <w:sz w:val="20"/>
          <w:szCs w:val="20"/>
        </w:rPr>
        <w:t>410 IAC 7-</w:t>
      </w:r>
      <w:r w:rsidRPr="00A24114">
        <w:rPr>
          <w:rFonts w:ascii="Arial" w:hAnsi="Arial" w:cs="Arial"/>
          <w:sz w:val="20"/>
          <w:szCs w:val="20"/>
        </w:rPr>
        <w:t>26 Retail</w:t>
      </w:r>
      <w:r w:rsidRPr="008D0AD1">
        <w:rPr>
          <w:rFonts w:ascii="Arial" w:hAnsi="Arial" w:cs="Arial"/>
          <w:sz w:val="20"/>
          <w:szCs w:val="20"/>
        </w:rPr>
        <w:t xml:space="preserve"> Food Establishment Sanitation Requirements</w:t>
      </w:r>
      <w:r w:rsidR="003214F1" w:rsidRPr="00A24114">
        <w:rPr>
          <w:rFonts w:ascii="Arial" w:hAnsi="Arial" w:cs="Arial"/>
          <w:sz w:val="20"/>
          <w:szCs w:val="20"/>
        </w:rPr>
        <w:t xml:space="preserve"> has </w:t>
      </w:r>
      <w:r w:rsidR="005024A0">
        <w:rPr>
          <w:rFonts w:ascii="Arial" w:hAnsi="Arial" w:cs="Arial"/>
          <w:sz w:val="20"/>
          <w:szCs w:val="20"/>
        </w:rPr>
        <w:t>been in effect since April 16, 2025</w:t>
      </w:r>
      <w:r w:rsidR="00556D9B">
        <w:rPr>
          <w:rFonts w:ascii="Arial" w:hAnsi="Arial" w:cs="Arial"/>
          <w:sz w:val="20"/>
          <w:szCs w:val="20"/>
        </w:rPr>
        <w:t>.</w:t>
      </w:r>
      <w:r w:rsidR="003214F1" w:rsidRPr="00A24114">
        <w:rPr>
          <w:rFonts w:ascii="Arial" w:hAnsi="Arial" w:cs="Arial"/>
          <w:sz w:val="20"/>
          <w:szCs w:val="20"/>
        </w:rPr>
        <w:t xml:space="preserve"> </w:t>
      </w:r>
      <w:r w:rsidR="005024A0">
        <w:rPr>
          <w:rFonts w:ascii="Arial" w:hAnsi="Arial" w:cs="Arial"/>
          <w:sz w:val="20"/>
          <w:szCs w:val="20"/>
        </w:rPr>
        <w:t xml:space="preserve"> </w:t>
      </w:r>
      <w:r w:rsidR="00507029">
        <w:rPr>
          <w:rFonts w:ascii="Arial" w:hAnsi="Arial" w:cs="Arial"/>
          <w:sz w:val="20"/>
          <w:szCs w:val="20"/>
        </w:rPr>
        <w:t xml:space="preserve">The previous food code </w:t>
      </w:r>
      <w:r w:rsidRPr="008D0AD1">
        <w:rPr>
          <w:rFonts w:ascii="Arial" w:hAnsi="Arial" w:cs="Arial"/>
          <w:sz w:val="20"/>
          <w:szCs w:val="20"/>
        </w:rPr>
        <w:t>410 IAC 7-24 </w:t>
      </w:r>
      <w:r w:rsidR="00507029">
        <w:rPr>
          <w:rFonts w:ascii="Arial" w:hAnsi="Arial" w:cs="Arial"/>
          <w:sz w:val="20"/>
          <w:szCs w:val="20"/>
        </w:rPr>
        <w:t>has been</w:t>
      </w:r>
      <w:r w:rsidR="00C9697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96972">
        <w:rPr>
          <w:rFonts w:ascii="Arial" w:hAnsi="Arial" w:cs="Arial"/>
          <w:sz w:val="20"/>
          <w:szCs w:val="20"/>
        </w:rPr>
        <w:t>r</w:t>
      </w:r>
      <w:r w:rsidR="00FF0F36" w:rsidRPr="00A24114">
        <w:rPr>
          <w:rFonts w:ascii="Arial" w:hAnsi="Arial" w:cs="Arial"/>
          <w:sz w:val="20"/>
          <w:szCs w:val="20"/>
        </w:rPr>
        <w:t>epealed</w:t>
      </w:r>
      <w:proofErr w:type="gramEnd"/>
      <w:r w:rsidR="005024A0">
        <w:rPr>
          <w:rFonts w:ascii="Arial" w:hAnsi="Arial" w:cs="Arial"/>
          <w:sz w:val="20"/>
          <w:szCs w:val="20"/>
        </w:rPr>
        <w:t xml:space="preserve">.  </w:t>
      </w:r>
      <w:r w:rsidRPr="00A24114">
        <w:rPr>
          <w:rFonts w:ascii="Arial" w:hAnsi="Arial" w:cs="Arial"/>
          <w:sz w:val="20"/>
          <w:szCs w:val="20"/>
        </w:rPr>
        <w:t xml:space="preserve">The Department </w:t>
      </w:r>
      <w:r w:rsidR="007878B4" w:rsidRPr="00A24114">
        <w:rPr>
          <w:rFonts w:ascii="Arial" w:hAnsi="Arial" w:cs="Arial"/>
          <w:sz w:val="20"/>
          <w:szCs w:val="20"/>
        </w:rPr>
        <w:t>of Food</w:t>
      </w:r>
      <w:r w:rsidRPr="00A24114">
        <w:rPr>
          <w:rFonts w:ascii="Arial" w:hAnsi="Arial" w:cs="Arial"/>
          <w:sz w:val="20"/>
          <w:szCs w:val="20"/>
        </w:rPr>
        <w:t xml:space="preserve"> &amp; Consumer Safety </w:t>
      </w:r>
      <w:r w:rsidR="007878B4" w:rsidRPr="00A24114">
        <w:rPr>
          <w:rFonts w:ascii="Arial" w:hAnsi="Arial" w:cs="Arial"/>
          <w:sz w:val="20"/>
          <w:szCs w:val="20"/>
        </w:rPr>
        <w:t xml:space="preserve">will be providing copies of the new code and highlighting significant changes </w:t>
      </w:r>
      <w:r w:rsidR="00556D9B">
        <w:rPr>
          <w:rFonts w:ascii="Arial" w:hAnsi="Arial" w:cs="Arial"/>
          <w:sz w:val="20"/>
          <w:szCs w:val="20"/>
        </w:rPr>
        <w:t>during</w:t>
      </w:r>
      <w:r w:rsidR="007878B4" w:rsidRPr="00A24114">
        <w:rPr>
          <w:rFonts w:ascii="Arial" w:hAnsi="Arial" w:cs="Arial"/>
          <w:sz w:val="20"/>
          <w:szCs w:val="20"/>
        </w:rPr>
        <w:t xml:space="preserve"> inspections.   </w:t>
      </w:r>
      <w:r w:rsidR="00CE302F">
        <w:rPr>
          <w:rFonts w:ascii="Arial" w:hAnsi="Arial" w:cs="Arial"/>
          <w:sz w:val="20"/>
          <w:szCs w:val="20"/>
        </w:rPr>
        <w:t>Our staff will work with businesses to attain compliance with the new code sections.</w:t>
      </w:r>
    </w:p>
    <w:p w14:paraId="3CA4AB61" w14:textId="43FE927C" w:rsidR="007E2F46" w:rsidRPr="00A24114" w:rsidRDefault="007E2F46" w:rsidP="008D0AD1">
      <w:pPr>
        <w:rPr>
          <w:rFonts w:ascii="Arial" w:hAnsi="Arial" w:cs="Arial"/>
          <w:sz w:val="20"/>
          <w:szCs w:val="20"/>
          <w:u w:val="single"/>
        </w:rPr>
      </w:pPr>
      <w:r w:rsidRPr="00A24114">
        <w:rPr>
          <w:rFonts w:ascii="Arial" w:hAnsi="Arial" w:cs="Arial"/>
          <w:sz w:val="20"/>
          <w:szCs w:val="20"/>
          <w:u w:val="single"/>
        </w:rPr>
        <w:t xml:space="preserve">Notable </w:t>
      </w:r>
      <w:r w:rsidR="003F454C" w:rsidRPr="00A24114">
        <w:rPr>
          <w:rFonts w:ascii="Arial" w:hAnsi="Arial" w:cs="Arial"/>
          <w:sz w:val="20"/>
          <w:szCs w:val="20"/>
          <w:u w:val="single"/>
        </w:rPr>
        <w:t xml:space="preserve">Definition </w:t>
      </w:r>
      <w:r w:rsidRPr="00A24114">
        <w:rPr>
          <w:rFonts w:ascii="Arial" w:hAnsi="Arial" w:cs="Arial"/>
          <w:sz w:val="20"/>
          <w:szCs w:val="20"/>
          <w:u w:val="single"/>
        </w:rPr>
        <w:t>Changes</w:t>
      </w:r>
    </w:p>
    <w:p w14:paraId="1BD5FF6C" w14:textId="3A6C8153" w:rsidR="003F454C" w:rsidRPr="00A24114" w:rsidRDefault="007E2F46" w:rsidP="008D0AD1">
      <w:pPr>
        <w:rPr>
          <w:rFonts w:ascii="Arial" w:hAnsi="Arial" w:cs="Arial"/>
          <w:sz w:val="20"/>
          <w:szCs w:val="20"/>
        </w:rPr>
      </w:pPr>
      <w:r w:rsidRPr="00A24114">
        <w:rPr>
          <w:rFonts w:ascii="Arial" w:hAnsi="Arial" w:cs="Arial"/>
          <w:sz w:val="20"/>
          <w:szCs w:val="20"/>
        </w:rPr>
        <w:t xml:space="preserve">The terminology critical and noncritical </w:t>
      </w:r>
      <w:r w:rsidR="00232E02">
        <w:rPr>
          <w:rFonts w:ascii="Arial" w:hAnsi="Arial" w:cs="Arial"/>
          <w:sz w:val="20"/>
          <w:szCs w:val="20"/>
        </w:rPr>
        <w:t xml:space="preserve">have been replaced </w:t>
      </w:r>
      <w:r w:rsidR="0075590E">
        <w:rPr>
          <w:rFonts w:ascii="Arial" w:hAnsi="Arial" w:cs="Arial"/>
          <w:sz w:val="20"/>
          <w:szCs w:val="20"/>
        </w:rPr>
        <w:t xml:space="preserve">with </w:t>
      </w:r>
      <w:r w:rsidR="0075590E" w:rsidRPr="00A24114">
        <w:rPr>
          <w:rFonts w:ascii="Arial" w:hAnsi="Arial" w:cs="Arial"/>
          <w:sz w:val="20"/>
          <w:szCs w:val="20"/>
        </w:rPr>
        <w:t>Priority</w:t>
      </w:r>
      <w:r w:rsidRPr="00A24114">
        <w:rPr>
          <w:rFonts w:ascii="Arial" w:hAnsi="Arial" w:cs="Arial"/>
          <w:sz w:val="20"/>
          <w:szCs w:val="20"/>
        </w:rPr>
        <w:t>, Priority Foundation and Core</w:t>
      </w:r>
      <w:r w:rsidR="00232E02">
        <w:rPr>
          <w:rFonts w:ascii="Arial" w:hAnsi="Arial" w:cs="Arial"/>
          <w:sz w:val="20"/>
          <w:szCs w:val="20"/>
        </w:rPr>
        <w:t>.</w:t>
      </w:r>
      <w:r w:rsidRPr="00A24114">
        <w:rPr>
          <w:rFonts w:ascii="Arial" w:hAnsi="Arial" w:cs="Arial"/>
          <w:sz w:val="20"/>
          <w:szCs w:val="20"/>
        </w:rPr>
        <w:t xml:space="preserve"> </w:t>
      </w:r>
      <w:r w:rsidR="00232E02">
        <w:rPr>
          <w:rFonts w:ascii="Arial" w:hAnsi="Arial" w:cs="Arial"/>
          <w:sz w:val="20"/>
          <w:szCs w:val="20"/>
        </w:rPr>
        <w:t>These terms are used</w:t>
      </w:r>
      <w:r w:rsidR="00DF78AD" w:rsidRPr="00A24114">
        <w:rPr>
          <w:rFonts w:ascii="Arial" w:hAnsi="Arial" w:cs="Arial"/>
          <w:sz w:val="20"/>
          <w:szCs w:val="20"/>
        </w:rPr>
        <w:t xml:space="preserve"> to classify the severity of violations and determin</w:t>
      </w:r>
      <w:r w:rsidR="004623A5">
        <w:rPr>
          <w:rFonts w:ascii="Arial" w:hAnsi="Arial" w:cs="Arial"/>
          <w:sz w:val="20"/>
          <w:szCs w:val="20"/>
        </w:rPr>
        <w:t>e</w:t>
      </w:r>
      <w:r w:rsidR="00DF78AD" w:rsidRPr="00A24114">
        <w:rPr>
          <w:rFonts w:ascii="Arial" w:hAnsi="Arial" w:cs="Arial"/>
          <w:sz w:val="20"/>
          <w:szCs w:val="20"/>
        </w:rPr>
        <w:t xml:space="preserve"> the </w:t>
      </w:r>
      <w:r w:rsidR="00556D9B">
        <w:rPr>
          <w:rFonts w:ascii="Arial" w:hAnsi="Arial" w:cs="Arial"/>
          <w:sz w:val="20"/>
          <w:szCs w:val="20"/>
        </w:rPr>
        <w:t xml:space="preserve">corrective action </w:t>
      </w:r>
      <w:r w:rsidR="00232E02">
        <w:rPr>
          <w:rFonts w:ascii="Arial" w:hAnsi="Arial" w:cs="Arial"/>
          <w:sz w:val="20"/>
          <w:szCs w:val="20"/>
        </w:rPr>
        <w:t>t</w:t>
      </w:r>
      <w:r w:rsidR="00556D9B">
        <w:rPr>
          <w:rFonts w:ascii="Arial" w:hAnsi="Arial" w:cs="Arial"/>
          <w:sz w:val="20"/>
          <w:szCs w:val="20"/>
        </w:rPr>
        <w:t>ime</w:t>
      </w:r>
      <w:r w:rsidR="00F74CF2">
        <w:rPr>
          <w:rFonts w:ascii="Arial" w:hAnsi="Arial" w:cs="Arial"/>
          <w:sz w:val="20"/>
          <w:szCs w:val="20"/>
        </w:rPr>
        <w:t>frame</w:t>
      </w:r>
      <w:r w:rsidRPr="00A24114">
        <w:rPr>
          <w:rFonts w:ascii="Arial" w:hAnsi="Arial" w:cs="Arial"/>
          <w:sz w:val="20"/>
          <w:szCs w:val="20"/>
        </w:rPr>
        <w:t>.</w:t>
      </w:r>
      <w:r w:rsidR="003F454C" w:rsidRPr="00A24114">
        <w:rPr>
          <w:rFonts w:ascii="Arial" w:hAnsi="Arial" w:cs="Arial"/>
          <w:sz w:val="20"/>
          <w:szCs w:val="20"/>
        </w:rPr>
        <w:t xml:space="preserve">   </w:t>
      </w:r>
    </w:p>
    <w:p w14:paraId="00997BF2" w14:textId="3A5F5691" w:rsidR="003F454C" w:rsidRPr="00A24114" w:rsidRDefault="007E2F46" w:rsidP="008D0AD1">
      <w:pPr>
        <w:rPr>
          <w:rFonts w:ascii="Arial" w:hAnsi="Arial" w:cs="Arial"/>
          <w:sz w:val="20"/>
          <w:szCs w:val="20"/>
        </w:rPr>
      </w:pPr>
      <w:r w:rsidRPr="00F74CF2">
        <w:rPr>
          <w:rFonts w:ascii="Arial" w:hAnsi="Arial" w:cs="Arial"/>
          <w:b/>
          <w:bCs/>
          <w:sz w:val="20"/>
          <w:szCs w:val="20"/>
          <w:u w:val="single"/>
        </w:rPr>
        <w:t>Priority</w:t>
      </w:r>
      <w:r w:rsidRPr="00F74CF2">
        <w:rPr>
          <w:rFonts w:ascii="Arial" w:hAnsi="Arial" w:cs="Arial"/>
          <w:b/>
          <w:bCs/>
          <w:sz w:val="20"/>
          <w:szCs w:val="20"/>
        </w:rPr>
        <w:t xml:space="preserve"> (P)</w:t>
      </w:r>
      <w:r w:rsidRPr="00A24114">
        <w:rPr>
          <w:rFonts w:ascii="Arial" w:hAnsi="Arial" w:cs="Arial"/>
          <w:sz w:val="20"/>
          <w:szCs w:val="20"/>
        </w:rPr>
        <w:t xml:space="preserve"> </w:t>
      </w:r>
      <w:r w:rsidR="003F454C" w:rsidRPr="00A24114">
        <w:rPr>
          <w:rFonts w:ascii="Arial" w:hAnsi="Arial" w:cs="Arial"/>
          <w:sz w:val="20"/>
          <w:szCs w:val="20"/>
        </w:rPr>
        <w:t xml:space="preserve">410 IAC </w:t>
      </w:r>
      <w:r w:rsidRPr="00A24114">
        <w:rPr>
          <w:rFonts w:ascii="Arial" w:hAnsi="Arial" w:cs="Arial"/>
          <w:sz w:val="20"/>
          <w:szCs w:val="20"/>
        </w:rPr>
        <w:t>7-26-92: Directly contributes to foodborne illness or injury such as cooking, reheating, cooling or handwashing.</w:t>
      </w:r>
      <w:r w:rsidRPr="00A24114">
        <w:rPr>
          <w:rFonts w:ascii="Arial" w:hAnsi="Arial" w:cs="Arial"/>
          <w:sz w:val="20"/>
          <w:szCs w:val="20"/>
        </w:rPr>
        <w:br/>
      </w:r>
      <w:r w:rsidRPr="00F74CF2">
        <w:rPr>
          <w:rFonts w:ascii="Arial" w:hAnsi="Arial" w:cs="Arial"/>
          <w:b/>
          <w:bCs/>
          <w:sz w:val="20"/>
          <w:szCs w:val="20"/>
          <w:u w:val="single"/>
        </w:rPr>
        <w:t>Priority foundation</w:t>
      </w:r>
      <w:r w:rsidRPr="00A24114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A24114">
        <w:rPr>
          <w:rFonts w:ascii="Arial" w:hAnsi="Arial" w:cs="Arial"/>
          <w:b/>
          <w:bCs/>
          <w:sz w:val="20"/>
          <w:szCs w:val="20"/>
        </w:rPr>
        <w:t>Pf</w:t>
      </w:r>
      <w:proofErr w:type="spellEnd"/>
      <w:r w:rsidRPr="00A24114">
        <w:rPr>
          <w:rFonts w:ascii="Arial" w:hAnsi="Arial" w:cs="Arial"/>
          <w:b/>
          <w:bCs/>
          <w:sz w:val="20"/>
          <w:szCs w:val="20"/>
        </w:rPr>
        <w:t>)</w:t>
      </w:r>
      <w:r w:rsidRPr="00A24114">
        <w:rPr>
          <w:rFonts w:ascii="Arial" w:hAnsi="Arial" w:cs="Arial"/>
          <w:sz w:val="20"/>
          <w:szCs w:val="20"/>
        </w:rPr>
        <w:t xml:space="preserve"> </w:t>
      </w:r>
      <w:r w:rsidR="003F454C" w:rsidRPr="00A24114">
        <w:rPr>
          <w:rFonts w:ascii="Arial" w:hAnsi="Arial" w:cs="Arial"/>
          <w:sz w:val="20"/>
          <w:szCs w:val="20"/>
        </w:rPr>
        <w:t xml:space="preserve">410 IAC </w:t>
      </w:r>
      <w:r w:rsidRPr="00A24114">
        <w:rPr>
          <w:rFonts w:ascii="Arial" w:hAnsi="Arial" w:cs="Arial"/>
          <w:sz w:val="20"/>
          <w:szCs w:val="20"/>
        </w:rPr>
        <w:t>7-26-93: Facilitates or enables one or more priority items such as personnel training, equipment maintenance, documentation, record keeping, and labeling.</w:t>
      </w:r>
      <w:r w:rsidRPr="00A24114">
        <w:rPr>
          <w:rFonts w:ascii="Arial" w:hAnsi="Arial" w:cs="Arial"/>
          <w:sz w:val="20"/>
          <w:szCs w:val="20"/>
        </w:rPr>
        <w:br/>
      </w:r>
      <w:r w:rsidRPr="00F74CF2">
        <w:rPr>
          <w:rFonts w:ascii="Arial" w:hAnsi="Arial" w:cs="Arial"/>
          <w:b/>
          <w:bCs/>
          <w:sz w:val="20"/>
          <w:szCs w:val="20"/>
          <w:u w:val="single"/>
        </w:rPr>
        <w:t>CORE</w:t>
      </w:r>
      <w:r w:rsidRPr="00A241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4114">
        <w:rPr>
          <w:rFonts w:ascii="Arial" w:hAnsi="Arial" w:cs="Arial"/>
          <w:sz w:val="20"/>
          <w:szCs w:val="20"/>
        </w:rPr>
        <w:t xml:space="preserve"> </w:t>
      </w:r>
      <w:r w:rsidR="003F454C" w:rsidRPr="00A24114">
        <w:rPr>
          <w:rFonts w:ascii="Arial" w:hAnsi="Arial" w:cs="Arial"/>
          <w:sz w:val="20"/>
          <w:szCs w:val="20"/>
        </w:rPr>
        <w:t xml:space="preserve">410 IAC </w:t>
      </w:r>
      <w:r w:rsidRPr="00A24114">
        <w:rPr>
          <w:rFonts w:ascii="Arial" w:hAnsi="Arial" w:cs="Arial"/>
          <w:sz w:val="20"/>
          <w:szCs w:val="20"/>
        </w:rPr>
        <w:t>7-26-25: Includes items that are usually related to general sanitation, operational controls, sanitation standard operating procedures (SSOPs), facilities or structures, equipment design, or general maintenance.</w:t>
      </w:r>
    </w:p>
    <w:p w14:paraId="670E98B1" w14:textId="590367DD" w:rsidR="003F454C" w:rsidRPr="00A24114" w:rsidRDefault="003F454C" w:rsidP="008D0AD1">
      <w:pPr>
        <w:rPr>
          <w:rFonts w:ascii="Arial" w:hAnsi="Arial" w:cs="Arial"/>
          <w:sz w:val="20"/>
          <w:szCs w:val="20"/>
        </w:rPr>
      </w:pPr>
      <w:r w:rsidRPr="00A24114">
        <w:rPr>
          <w:rFonts w:ascii="Arial" w:hAnsi="Arial" w:cs="Arial"/>
          <w:sz w:val="20"/>
          <w:szCs w:val="20"/>
        </w:rPr>
        <w:t xml:space="preserve">Potentially hazardous food is now </w:t>
      </w:r>
      <w:r w:rsidRPr="00A24114">
        <w:rPr>
          <w:rFonts w:ascii="Arial" w:hAnsi="Arial" w:cs="Arial"/>
          <w:b/>
          <w:bCs/>
          <w:sz w:val="20"/>
          <w:szCs w:val="20"/>
        </w:rPr>
        <w:t>Time/temperature control for safety food or TCS</w:t>
      </w:r>
      <w:r w:rsidRPr="00A24114">
        <w:rPr>
          <w:rFonts w:ascii="Arial" w:hAnsi="Arial" w:cs="Arial"/>
          <w:sz w:val="20"/>
          <w:szCs w:val="20"/>
        </w:rPr>
        <w:t xml:space="preserve"> (410 IAC 7-26-125).  </w:t>
      </w:r>
      <w:r w:rsidR="00FF0F36" w:rsidRPr="00A24114">
        <w:rPr>
          <w:rFonts w:ascii="Arial" w:hAnsi="Arial" w:cs="Arial"/>
          <w:sz w:val="20"/>
          <w:szCs w:val="20"/>
        </w:rPr>
        <w:t xml:space="preserve"> Tomatoes and cut leafy greens are TCS and require temperature control (410 IAC 7-26-125).  </w:t>
      </w:r>
    </w:p>
    <w:p w14:paraId="3138F613" w14:textId="26005F62" w:rsidR="00FF0F36" w:rsidRPr="00A24114" w:rsidRDefault="00FF0F36" w:rsidP="008D0AD1">
      <w:pPr>
        <w:rPr>
          <w:rFonts w:ascii="Arial" w:hAnsi="Arial" w:cs="Arial"/>
          <w:sz w:val="20"/>
          <w:szCs w:val="20"/>
        </w:rPr>
      </w:pPr>
      <w:r w:rsidRPr="00A24114">
        <w:rPr>
          <w:rFonts w:ascii="Arial" w:hAnsi="Arial" w:cs="Arial"/>
          <w:sz w:val="20"/>
          <w:szCs w:val="20"/>
        </w:rPr>
        <w:t>Other Notable Changes: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00"/>
        <w:gridCol w:w="4315"/>
      </w:tblGrid>
      <w:tr w:rsidR="00FF0F36" w:rsidRPr="00A24114" w14:paraId="5C1C6D40" w14:textId="77777777" w:rsidTr="00FF0F36">
        <w:tc>
          <w:tcPr>
            <w:tcW w:w="3235" w:type="dxa"/>
          </w:tcPr>
          <w:p w14:paraId="5B35848B" w14:textId="36131ADB" w:rsidR="00FF0F36" w:rsidRPr="00A24114" w:rsidRDefault="00512709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14:paraId="2F2AC21B" w14:textId="13DC8600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Code Section</w:t>
            </w:r>
          </w:p>
        </w:tc>
        <w:tc>
          <w:tcPr>
            <w:tcW w:w="4315" w:type="dxa"/>
          </w:tcPr>
          <w:p w14:paraId="48F0E20A" w14:textId="6FB384AD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Summary</w:t>
            </w:r>
            <w:r w:rsidR="00B76E47" w:rsidRPr="00A24114">
              <w:rPr>
                <w:rFonts w:ascii="Arial" w:hAnsi="Arial" w:cs="Arial"/>
                <w:sz w:val="20"/>
                <w:szCs w:val="20"/>
              </w:rPr>
              <w:t xml:space="preserve"> of Changes</w:t>
            </w:r>
          </w:p>
        </w:tc>
      </w:tr>
      <w:tr w:rsidR="00FF0F36" w:rsidRPr="00A24114" w14:paraId="4498E6A9" w14:textId="77777777" w:rsidTr="00FF0F36">
        <w:tc>
          <w:tcPr>
            <w:tcW w:w="3235" w:type="dxa"/>
          </w:tcPr>
          <w:p w14:paraId="4998255D" w14:textId="15E2300A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Employee Health</w:t>
            </w:r>
          </w:p>
        </w:tc>
        <w:tc>
          <w:tcPr>
            <w:tcW w:w="1800" w:type="dxa"/>
          </w:tcPr>
          <w:p w14:paraId="6CDE36F3" w14:textId="11EA6208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 xml:space="preserve">410 IAC 7-26-137 </w:t>
            </w:r>
          </w:p>
        </w:tc>
        <w:tc>
          <w:tcPr>
            <w:tcW w:w="4315" w:type="dxa"/>
          </w:tcPr>
          <w:p w14:paraId="237E6FEF" w14:textId="52E787E5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 xml:space="preserve">Foodborne illness </w:t>
            </w:r>
            <w:r w:rsidR="005758E7">
              <w:rPr>
                <w:rFonts w:ascii="Arial" w:hAnsi="Arial" w:cs="Arial"/>
                <w:sz w:val="20"/>
                <w:szCs w:val="20"/>
              </w:rPr>
              <w:t xml:space="preserve">criteria </w:t>
            </w:r>
            <w:r w:rsidRPr="00A24114">
              <w:rPr>
                <w:rFonts w:ascii="Arial" w:hAnsi="Arial" w:cs="Arial"/>
                <w:sz w:val="20"/>
                <w:szCs w:val="20"/>
              </w:rPr>
              <w:t>and procedures are updated</w:t>
            </w:r>
          </w:p>
        </w:tc>
      </w:tr>
      <w:tr w:rsidR="00FF0F36" w:rsidRPr="00A24114" w14:paraId="7A3446FA" w14:textId="77777777" w:rsidTr="00FF0F36">
        <w:tc>
          <w:tcPr>
            <w:tcW w:w="3235" w:type="dxa"/>
          </w:tcPr>
          <w:p w14:paraId="38D5BC22" w14:textId="512E2569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Clean up of vomiting and diarrheal events</w:t>
            </w:r>
          </w:p>
        </w:tc>
        <w:tc>
          <w:tcPr>
            <w:tcW w:w="1800" w:type="dxa"/>
          </w:tcPr>
          <w:p w14:paraId="7A9F3CEA" w14:textId="4906745F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 xml:space="preserve">410 IAC 7-26-153 </w:t>
            </w:r>
          </w:p>
        </w:tc>
        <w:tc>
          <w:tcPr>
            <w:tcW w:w="4315" w:type="dxa"/>
          </w:tcPr>
          <w:p w14:paraId="36A88648" w14:textId="2F5C7CEC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 xml:space="preserve">Establishments need written procedures </w:t>
            </w:r>
            <w:r w:rsidR="005758E7">
              <w:rPr>
                <w:rFonts w:ascii="Arial" w:hAnsi="Arial" w:cs="Arial"/>
                <w:sz w:val="20"/>
                <w:szCs w:val="20"/>
              </w:rPr>
              <w:t>for these events</w:t>
            </w:r>
          </w:p>
        </w:tc>
      </w:tr>
      <w:tr w:rsidR="00FF0F36" w:rsidRPr="00A24114" w14:paraId="56E90709" w14:textId="77777777" w:rsidTr="00FF0F36">
        <w:tc>
          <w:tcPr>
            <w:tcW w:w="3235" w:type="dxa"/>
          </w:tcPr>
          <w:p w14:paraId="4293E852" w14:textId="06A799D4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 xml:space="preserve">Molluscan </w:t>
            </w:r>
            <w:proofErr w:type="gramStart"/>
            <w:r w:rsidRPr="00A24114">
              <w:rPr>
                <w:rFonts w:ascii="Arial" w:hAnsi="Arial" w:cs="Arial"/>
                <w:sz w:val="20"/>
                <w:szCs w:val="20"/>
              </w:rPr>
              <w:t xml:space="preserve">Shellfish;   </w:t>
            </w:r>
            <w:proofErr w:type="gramEnd"/>
            <w:r w:rsidRPr="00A24114">
              <w:rPr>
                <w:rFonts w:ascii="Arial" w:hAnsi="Arial" w:cs="Arial"/>
                <w:sz w:val="20"/>
                <w:szCs w:val="20"/>
              </w:rPr>
              <w:t xml:space="preserve">      maintaining identification</w:t>
            </w:r>
          </w:p>
        </w:tc>
        <w:tc>
          <w:tcPr>
            <w:tcW w:w="1800" w:type="dxa"/>
          </w:tcPr>
          <w:p w14:paraId="3F44633D" w14:textId="3F1075FD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410 IAC 7-26-1</w:t>
            </w:r>
            <w:r w:rsidR="0055157D">
              <w:rPr>
                <w:rFonts w:ascii="Arial" w:hAnsi="Arial" w:cs="Arial"/>
                <w:sz w:val="20"/>
                <w:szCs w:val="20"/>
              </w:rPr>
              <w:t>72</w:t>
            </w:r>
            <w:r w:rsidRPr="00A241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</w:tcPr>
          <w:p w14:paraId="39539788" w14:textId="22EAA02F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Maintained in chronological order, recording the date the last shellfish was sold on the tag</w:t>
            </w:r>
          </w:p>
        </w:tc>
      </w:tr>
      <w:tr w:rsidR="00FF0F36" w:rsidRPr="00A24114" w14:paraId="3436C353" w14:textId="77777777" w:rsidTr="00FF0F36">
        <w:tc>
          <w:tcPr>
            <w:tcW w:w="3235" w:type="dxa"/>
          </w:tcPr>
          <w:p w14:paraId="44BFBAD0" w14:textId="153C301E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Non-continuous cooking</w:t>
            </w:r>
          </w:p>
        </w:tc>
        <w:tc>
          <w:tcPr>
            <w:tcW w:w="1800" w:type="dxa"/>
          </w:tcPr>
          <w:p w14:paraId="0A6E8F8A" w14:textId="174DAA2D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410 IAC 7-26-201</w:t>
            </w:r>
          </w:p>
        </w:tc>
        <w:tc>
          <w:tcPr>
            <w:tcW w:w="4315" w:type="dxa"/>
          </w:tcPr>
          <w:p w14:paraId="6A680939" w14:textId="636D0485" w:rsidR="00FF0F36" w:rsidRPr="00A24114" w:rsidRDefault="00FF0F36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Non-</w:t>
            </w:r>
            <w:r w:rsidR="00DF78AD" w:rsidRPr="00A24114">
              <w:rPr>
                <w:rFonts w:ascii="Arial" w:hAnsi="Arial" w:cs="Arial"/>
                <w:sz w:val="20"/>
                <w:szCs w:val="20"/>
              </w:rPr>
              <w:t>continuous</w:t>
            </w:r>
            <w:r w:rsidRPr="00A24114">
              <w:rPr>
                <w:rFonts w:ascii="Arial" w:hAnsi="Arial" w:cs="Arial"/>
                <w:sz w:val="20"/>
                <w:szCs w:val="20"/>
              </w:rPr>
              <w:t xml:space="preserve"> cooking of raw animal foods requires SOPs and approval.</w:t>
            </w:r>
          </w:p>
        </w:tc>
      </w:tr>
      <w:tr w:rsidR="00FF0F36" w:rsidRPr="00A24114" w14:paraId="6B0BA36D" w14:textId="77777777" w:rsidTr="00FF0F36">
        <w:tc>
          <w:tcPr>
            <w:tcW w:w="3235" w:type="dxa"/>
          </w:tcPr>
          <w:p w14:paraId="33F0050B" w14:textId="39D53EBF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 xml:space="preserve">Temperature measuring devices; </w:t>
            </w:r>
            <w:proofErr w:type="spellStart"/>
            <w:r w:rsidRPr="00A24114">
              <w:rPr>
                <w:rFonts w:ascii="Arial" w:hAnsi="Arial" w:cs="Arial"/>
                <w:sz w:val="20"/>
                <w:szCs w:val="20"/>
              </w:rPr>
              <w:t>warewashing</w:t>
            </w:r>
            <w:proofErr w:type="spellEnd"/>
          </w:p>
        </w:tc>
        <w:tc>
          <w:tcPr>
            <w:tcW w:w="1800" w:type="dxa"/>
          </w:tcPr>
          <w:p w14:paraId="19FE5230" w14:textId="1E888CED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410 IAC 7-26-280</w:t>
            </w:r>
          </w:p>
        </w:tc>
        <w:tc>
          <w:tcPr>
            <w:tcW w:w="4315" w:type="dxa"/>
          </w:tcPr>
          <w:p w14:paraId="3ECD74EE" w14:textId="424C2540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 xml:space="preserve">An irreversible registering temperature indicator must be available for hot water mechanical </w:t>
            </w:r>
            <w:proofErr w:type="spellStart"/>
            <w:r w:rsidR="00DF78AD" w:rsidRPr="00A24114">
              <w:rPr>
                <w:rFonts w:ascii="Arial" w:hAnsi="Arial" w:cs="Arial"/>
                <w:sz w:val="20"/>
                <w:szCs w:val="20"/>
              </w:rPr>
              <w:t>warewashing</w:t>
            </w:r>
            <w:proofErr w:type="spellEnd"/>
            <w:r w:rsidRPr="00A24114">
              <w:rPr>
                <w:rFonts w:ascii="Arial" w:hAnsi="Arial" w:cs="Arial"/>
                <w:sz w:val="20"/>
                <w:szCs w:val="20"/>
              </w:rPr>
              <w:t xml:space="preserve"> operations.</w:t>
            </w:r>
          </w:p>
        </w:tc>
      </w:tr>
      <w:tr w:rsidR="00FF0F36" w:rsidRPr="00A24114" w14:paraId="196AA394" w14:textId="77777777" w:rsidTr="00FF0F36">
        <w:tc>
          <w:tcPr>
            <w:tcW w:w="3235" w:type="dxa"/>
          </w:tcPr>
          <w:p w14:paraId="38898C0D" w14:textId="61C7D625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Handwashing signage</w:t>
            </w:r>
          </w:p>
        </w:tc>
        <w:tc>
          <w:tcPr>
            <w:tcW w:w="1800" w:type="dxa"/>
          </w:tcPr>
          <w:p w14:paraId="0FCEA784" w14:textId="662241C4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410 IAC 7-26-432</w:t>
            </w:r>
          </w:p>
        </w:tc>
        <w:tc>
          <w:tcPr>
            <w:tcW w:w="4315" w:type="dxa"/>
          </w:tcPr>
          <w:p w14:paraId="5D1F6B77" w14:textId="0441617E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A sign notifying employees to wash their hands must be posted at all handwashing sinks used by food employees</w:t>
            </w:r>
          </w:p>
        </w:tc>
      </w:tr>
      <w:tr w:rsidR="00FF0F36" w:rsidRPr="00A24114" w14:paraId="723A95AF" w14:textId="77777777" w:rsidTr="00FF0F36">
        <w:tc>
          <w:tcPr>
            <w:tcW w:w="3235" w:type="dxa"/>
          </w:tcPr>
          <w:p w14:paraId="2B121519" w14:textId="269A1093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 xml:space="preserve">Wiping </w:t>
            </w:r>
            <w:proofErr w:type="gramStart"/>
            <w:r w:rsidRPr="00A24114">
              <w:rPr>
                <w:rFonts w:ascii="Arial" w:hAnsi="Arial" w:cs="Arial"/>
                <w:sz w:val="20"/>
                <w:szCs w:val="20"/>
              </w:rPr>
              <w:t>cloths</w:t>
            </w:r>
            <w:proofErr w:type="gramEnd"/>
            <w:r w:rsidRPr="00A24114">
              <w:rPr>
                <w:rFonts w:ascii="Arial" w:hAnsi="Arial" w:cs="Arial"/>
                <w:sz w:val="20"/>
                <w:szCs w:val="20"/>
              </w:rPr>
              <w:t>; used for one purpose</w:t>
            </w:r>
          </w:p>
        </w:tc>
        <w:tc>
          <w:tcPr>
            <w:tcW w:w="1800" w:type="dxa"/>
          </w:tcPr>
          <w:p w14:paraId="6FC019A0" w14:textId="495A0BB4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410 IAC 7-26-185</w:t>
            </w:r>
          </w:p>
        </w:tc>
        <w:tc>
          <w:tcPr>
            <w:tcW w:w="4315" w:type="dxa"/>
          </w:tcPr>
          <w:p w14:paraId="290CFC5F" w14:textId="5F62A055" w:rsidR="00FF0F36" w:rsidRPr="00A24114" w:rsidRDefault="006050E2" w:rsidP="008D0AD1">
            <w:pPr>
              <w:rPr>
                <w:rFonts w:ascii="Arial" w:hAnsi="Arial" w:cs="Arial"/>
                <w:sz w:val="20"/>
                <w:szCs w:val="20"/>
              </w:rPr>
            </w:pPr>
            <w:r w:rsidRPr="00A24114">
              <w:rPr>
                <w:rFonts w:ascii="Arial" w:hAnsi="Arial" w:cs="Arial"/>
                <w:sz w:val="20"/>
                <w:szCs w:val="20"/>
              </w:rPr>
              <w:t>In-place sanitizer buckets must be stored off the floor.</w:t>
            </w:r>
          </w:p>
        </w:tc>
      </w:tr>
    </w:tbl>
    <w:p w14:paraId="02E5D626" w14:textId="77777777" w:rsidR="00FF0F36" w:rsidRPr="00A24114" w:rsidRDefault="00FF0F36" w:rsidP="008D0AD1">
      <w:pPr>
        <w:rPr>
          <w:rFonts w:ascii="Arial" w:hAnsi="Arial" w:cs="Arial"/>
          <w:sz w:val="20"/>
          <w:szCs w:val="20"/>
        </w:rPr>
      </w:pPr>
    </w:p>
    <w:p w14:paraId="4B16FE65" w14:textId="55AE3028" w:rsidR="00B83CF9" w:rsidRDefault="007C6C12" w:rsidP="00B83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4EF8" wp14:editId="40287FA2">
                <wp:simplePos x="0" y="0"/>
                <wp:positionH relativeFrom="column">
                  <wp:posOffset>4400550</wp:posOffset>
                </wp:positionH>
                <wp:positionV relativeFrom="paragraph">
                  <wp:posOffset>499110</wp:posOffset>
                </wp:positionV>
                <wp:extent cx="1524000" cy="1320800"/>
                <wp:effectExtent l="0" t="0" r="0" b="0"/>
                <wp:wrapNone/>
                <wp:docPr id="2843470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AE8D9" w14:textId="4D9B6C44" w:rsidR="007C6C12" w:rsidRDefault="007C6C12">
                            <w:r w:rsidRPr="00B73A78">
                              <w:rPr>
                                <w:noProof/>
                              </w:rPr>
                              <w:drawing>
                                <wp:inline distT="0" distB="0" distL="0" distR="0" wp14:anchorId="5E953FCC" wp14:editId="6BBA505C">
                                  <wp:extent cx="1225550" cy="1225550"/>
                                  <wp:effectExtent l="0" t="0" r="0" b="0"/>
                                  <wp:docPr id="193330315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0" cy="1225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A4E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6.5pt;margin-top:39.3pt;width:120pt;height:10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" fillcolor="white [3201]" stroked="f" strokeweight=".5pt">
                <v:textbox>
                  <w:txbxContent>
                    <w:p w14:paraId="055AE8D9" w14:textId="4D9B6C44" w:rsidR="007C6C12" w:rsidRDefault="007C6C12">
                      <w:r w:rsidRPr="00B73A78">
                        <w:rPr>
                          <w:noProof/>
                        </w:rPr>
                        <w:drawing>
                          <wp:inline distT="0" distB="0" distL="0" distR="0" wp14:anchorId="5E953FCC" wp14:editId="6BBA505C">
                            <wp:extent cx="1225550" cy="1225550"/>
                            <wp:effectExtent l="0" t="0" r="0" b="0"/>
                            <wp:docPr id="193330315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0" cy="122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047" w:rsidRPr="00A24114">
        <w:rPr>
          <w:rFonts w:ascii="Arial" w:hAnsi="Arial" w:cs="Arial"/>
          <w:sz w:val="20"/>
          <w:szCs w:val="20"/>
        </w:rPr>
        <w:t xml:space="preserve">Thank you for your continued cooperation as we </w:t>
      </w:r>
      <w:r w:rsidR="00DF78AD" w:rsidRPr="00A24114">
        <w:rPr>
          <w:rFonts w:ascii="Arial" w:hAnsi="Arial" w:cs="Arial"/>
          <w:sz w:val="20"/>
          <w:szCs w:val="20"/>
        </w:rPr>
        <w:t xml:space="preserve">work together to protect public health.   </w:t>
      </w:r>
      <w:r w:rsidR="005758E7">
        <w:rPr>
          <w:rFonts w:ascii="Arial" w:hAnsi="Arial" w:cs="Arial"/>
          <w:sz w:val="20"/>
          <w:szCs w:val="20"/>
        </w:rPr>
        <w:t xml:space="preserve">Please reach out to your Retail Food Safety Inspection Officer or our office with questions.   </w:t>
      </w:r>
      <w:r w:rsidR="00B83CF9" w:rsidRPr="00A24114">
        <w:rPr>
          <w:rFonts w:ascii="Arial" w:hAnsi="Arial" w:cs="Arial"/>
          <w:sz w:val="20"/>
          <w:szCs w:val="20"/>
        </w:rPr>
        <w:t xml:space="preserve">The new code, </w:t>
      </w:r>
      <w:r w:rsidR="00B83CF9">
        <w:rPr>
          <w:rFonts w:ascii="Arial" w:hAnsi="Arial" w:cs="Arial"/>
          <w:sz w:val="20"/>
          <w:szCs w:val="20"/>
        </w:rPr>
        <w:t>educational materials</w:t>
      </w:r>
      <w:r w:rsidR="00B83CF9" w:rsidRPr="00A24114">
        <w:rPr>
          <w:rFonts w:ascii="Arial" w:hAnsi="Arial" w:cs="Arial"/>
          <w:sz w:val="20"/>
          <w:szCs w:val="20"/>
        </w:rPr>
        <w:t xml:space="preserve">  and supporting information are also available on our </w:t>
      </w:r>
      <w:hyperlink r:id="rId8" w:history="1">
        <w:r w:rsidR="00B83CF9" w:rsidRPr="00A24114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="00B83CF9" w:rsidRPr="00A24114">
        <w:rPr>
          <w:rFonts w:ascii="Arial" w:hAnsi="Arial" w:cs="Arial"/>
          <w:sz w:val="20"/>
          <w:szCs w:val="20"/>
        </w:rPr>
        <w:t xml:space="preserve">. </w:t>
      </w:r>
    </w:p>
    <w:p w14:paraId="01124D8E" w14:textId="0389FC0C" w:rsidR="007C6C12" w:rsidRDefault="007C6C12" w:rsidP="00B83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4196B7F0" w14:textId="37B8F803" w:rsidR="007C6C12" w:rsidRPr="00A24114" w:rsidRDefault="007C6C12" w:rsidP="00B83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Department of Food &amp; Consumer Safety</w:t>
      </w:r>
    </w:p>
    <w:sectPr w:rsidR="007C6C12" w:rsidRPr="00A24114" w:rsidSect="007C6C12">
      <w:head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D803" w14:textId="77777777" w:rsidR="00AE3508" w:rsidRDefault="00AE3508" w:rsidP="00593512">
      <w:pPr>
        <w:spacing w:after="0" w:line="240" w:lineRule="auto"/>
      </w:pPr>
      <w:r>
        <w:separator/>
      </w:r>
    </w:p>
  </w:endnote>
  <w:endnote w:type="continuationSeparator" w:id="0">
    <w:p w14:paraId="44F70E74" w14:textId="77777777" w:rsidR="00AE3508" w:rsidRDefault="00AE3508" w:rsidP="0059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7E0B6" w14:textId="77777777" w:rsidR="00AE3508" w:rsidRDefault="00AE3508" w:rsidP="00593512">
      <w:pPr>
        <w:spacing w:after="0" w:line="240" w:lineRule="auto"/>
      </w:pPr>
      <w:r>
        <w:separator/>
      </w:r>
    </w:p>
  </w:footnote>
  <w:footnote w:type="continuationSeparator" w:id="0">
    <w:p w14:paraId="56099D22" w14:textId="77777777" w:rsidR="00AE3508" w:rsidRDefault="00AE3508" w:rsidP="0059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2F132" w14:textId="02FD2128" w:rsidR="00593512" w:rsidRDefault="00C04FBA" w:rsidP="00593512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EDAE08" wp14:editId="4225CC0B">
              <wp:simplePos x="0" y="0"/>
              <wp:positionH relativeFrom="column">
                <wp:posOffset>4419600</wp:posOffset>
              </wp:positionH>
              <wp:positionV relativeFrom="paragraph">
                <wp:posOffset>-339725</wp:posOffset>
              </wp:positionV>
              <wp:extent cx="762000" cy="704850"/>
              <wp:effectExtent l="0" t="0" r="0" b="0"/>
              <wp:wrapSquare wrapText="bothSides"/>
              <wp:docPr id="1543063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EA92E" w14:textId="5CC0D1FD" w:rsidR="00C04FBA" w:rsidRDefault="00C04F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DAE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8pt;margin-top:-26.75pt;width:60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" stroked="f">
              <v:textbox>
                <w:txbxContent>
                  <w:p w14:paraId="338EA92E" w14:textId="5CC0D1FD" w:rsidR="00C04FBA" w:rsidRDefault="00C04FBA"/>
                </w:txbxContent>
              </v:textbox>
              <w10:wrap type="square"/>
            </v:shape>
          </w:pict>
        </mc:Fallback>
      </mc:AlternateContent>
    </w:r>
    <w:r w:rsidR="0059351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C0E633" wp14:editId="152D0284">
              <wp:simplePos x="0" y="0"/>
              <wp:positionH relativeFrom="column">
                <wp:posOffset>-857250</wp:posOffset>
              </wp:positionH>
              <wp:positionV relativeFrom="paragraph">
                <wp:posOffset>-400050</wp:posOffset>
              </wp:positionV>
              <wp:extent cx="1771650" cy="781050"/>
              <wp:effectExtent l="0" t="0" r="0" b="0"/>
              <wp:wrapSquare wrapText="bothSides"/>
              <wp:docPr id="13056291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62356" w14:textId="614D05AC" w:rsidR="00A51002" w:rsidRPr="00A51002" w:rsidRDefault="00A51002" w:rsidP="00A51002">
                          <w:r w:rsidRPr="00A51002">
                            <w:rPr>
                              <w:noProof/>
                            </w:rPr>
                            <w:drawing>
                              <wp:inline distT="0" distB="0" distL="0" distR="0" wp14:anchorId="4ADA09C8" wp14:editId="75A3D258">
                                <wp:extent cx="1533525" cy="784696"/>
                                <wp:effectExtent l="0" t="0" r="0" b="0"/>
                                <wp:docPr id="1027252966" name="Picture 3" descr="A logo for a health department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4457881" name="Picture 3" descr="A logo for a health department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4106" cy="790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F6AEE42" w14:textId="6F41E5FE" w:rsidR="00593512" w:rsidRDefault="005935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0E633" id="_x0000_s1028" type="#_x0000_t202" style="position:absolute;left:0;text-align:left;margin-left:-67.5pt;margin-top:-31.5pt;width:139.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" stroked="f">
              <v:textbox>
                <w:txbxContent>
                  <w:p w14:paraId="29B62356" w14:textId="614D05AC" w:rsidR="00A51002" w:rsidRPr="00A51002" w:rsidRDefault="00A51002" w:rsidP="00A51002">
                    <w:r w:rsidRPr="00A51002">
                      <w:rPr>
                        <w:noProof/>
                      </w:rPr>
                      <w:drawing>
                        <wp:inline distT="0" distB="0" distL="0" distR="0" wp14:anchorId="4ADA09C8" wp14:editId="75A3D258">
                          <wp:extent cx="1533525" cy="784696"/>
                          <wp:effectExtent l="0" t="0" r="0" b="0"/>
                          <wp:docPr id="1027252966" name="Picture 3" descr="A logo for a health department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74457881" name="Picture 3" descr="A logo for a health department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4106" cy="790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F6AEE42" w14:textId="6F41E5FE" w:rsidR="00593512" w:rsidRDefault="00593512"/>
                </w:txbxContent>
              </v:textbox>
              <w10:wrap type="square"/>
            </v:shape>
          </w:pict>
        </mc:Fallback>
      </mc:AlternateContent>
    </w:r>
    <w:r w:rsidR="00593512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0D8BC8" wp14:editId="7E1973EA">
              <wp:simplePos x="0" y="0"/>
              <wp:positionH relativeFrom="margin">
                <wp:posOffset>3028950</wp:posOffset>
              </wp:positionH>
              <wp:positionV relativeFrom="paragraph">
                <wp:posOffset>-371475</wp:posOffset>
              </wp:positionV>
              <wp:extent cx="3762375" cy="8572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E7B42" w14:textId="3C3062DE" w:rsidR="00593512" w:rsidRDefault="00593512" w:rsidP="00520C69">
                          <w:pPr>
                            <w:jc w:val="right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520C69">
                            <w:rPr>
                              <w:sz w:val="20"/>
                              <w:szCs w:val="20"/>
                            </w:rPr>
                            <w:t>Food &amp; Consumer Safety</w:t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520C69"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 xml:space="preserve"> 4701 N. Keystone Ave. Suite 500</w:t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  <w:t>Indianapolis, Indiana 46205</w:t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A06FB1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0C69">
                            <w:rPr>
                              <w:sz w:val="16"/>
                              <w:szCs w:val="16"/>
                            </w:rPr>
                            <w:t>foodsafe@marionhealth.org</w:t>
                          </w:r>
                          <w:proofErr w:type="gramStart"/>
                          <w:r>
                            <w:tab/>
                          </w:r>
                          <w:r w:rsidR="00520C69">
                            <w:t xml:space="preserve">  </w:t>
                          </w:r>
                          <w:r w:rsidR="00520C69">
                            <w:tab/>
                          </w:r>
                          <w:proofErr w:type="gramEnd"/>
                          <w:r w:rsidR="00520C69" w:rsidRPr="00520C69">
                            <w:rPr>
                              <w:sz w:val="16"/>
                              <w:szCs w:val="16"/>
                            </w:rPr>
                            <w:t>317-221-2222</w:t>
                          </w:r>
                        </w:p>
                        <w:p w14:paraId="317A58E0" w14:textId="0ADA3060" w:rsidR="00593512" w:rsidRDefault="00593512" w:rsidP="00593512">
                          <w:pPr>
                            <w:jc w:val="right"/>
                          </w:pPr>
                          <w:r>
                            <w:tab/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D8BC8" id="_x0000_s1029" type="#_x0000_t202" style="position:absolute;left:0;text-align:left;margin-left:238.5pt;margin-top:-29.25pt;width:296.2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" stroked="f">
              <v:textbox>
                <w:txbxContent>
                  <w:p w14:paraId="6F7E7B42" w14:textId="3C3062DE" w:rsidR="00593512" w:rsidRDefault="00593512" w:rsidP="00520C69">
                    <w:pPr>
                      <w:jc w:val="right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520C69">
                      <w:rPr>
                        <w:sz w:val="20"/>
                        <w:szCs w:val="20"/>
                      </w:rPr>
                      <w:t>Food &amp; Consumer Safety</w:t>
                    </w:r>
                    <w:r>
                      <w:t xml:space="preserve">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520C69"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 xml:space="preserve"> 4701 N. Keystone Ave. Suite 500</w:t>
                    </w:r>
                    <w:r w:rsidRPr="00520C69">
                      <w:rPr>
                        <w:sz w:val="16"/>
                        <w:szCs w:val="16"/>
                      </w:rPr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ab/>
                      <w:t>Indianapolis, Indiana 46205</w:t>
                    </w:r>
                    <w:r w:rsidRPr="00520C69">
                      <w:rPr>
                        <w:sz w:val="16"/>
                        <w:szCs w:val="16"/>
                      </w:rPr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ab/>
                    </w:r>
                    <w:r w:rsidR="00A06FB1">
                      <w:rPr>
                        <w:sz w:val="16"/>
                        <w:szCs w:val="16"/>
                      </w:rPr>
                      <w:tab/>
                    </w:r>
                    <w:r w:rsidRPr="00520C69">
                      <w:rPr>
                        <w:sz w:val="16"/>
                        <w:szCs w:val="16"/>
                      </w:rPr>
                      <w:t>foodsafe@marionhealth.org</w:t>
                    </w:r>
                    <w:proofErr w:type="gramStart"/>
                    <w:r>
                      <w:tab/>
                    </w:r>
                    <w:r w:rsidR="00520C69">
                      <w:t xml:space="preserve">  </w:t>
                    </w:r>
                    <w:r w:rsidR="00520C69">
                      <w:tab/>
                    </w:r>
                    <w:proofErr w:type="gramEnd"/>
                    <w:r w:rsidR="00520C69" w:rsidRPr="00520C69">
                      <w:rPr>
                        <w:sz w:val="16"/>
                        <w:szCs w:val="16"/>
                      </w:rPr>
                      <w:t>317-221-2222</w:t>
                    </w:r>
                  </w:p>
                  <w:p w14:paraId="317A58E0" w14:textId="0ADA3060" w:rsidR="00593512" w:rsidRDefault="00593512" w:rsidP="00593512">
                    <w:pPr>
                      <w:jc w:val="right"/>
                    </w:pPr>
                    <w:r>
                      <w:tab/>
                      <w:t xml:space="preserve">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75"/>
    <w:rsid w:val="000A6E02"/>
    <w:rsid w:val="001043FB"/>
    <w:rsid w:val="00117A07"/>
    <w:rsid w:val="00125664"/>
    <w:rsid w:val="00144C17"/>
    <w:rsid w:val="001A2EDC"/>
    <w:rsid w:val="0020321B"/>
    <w:rsid w:val="00232E02"/>
    <w:rsid w:val="002C5356"/>
    <w:rsid w:val="003214F1"/>
    <w:rsid w:val="003726AD"/>
    <w:rsid w:val="00397B7E"/>
    <w:rsid w:val="003F454C"/>
    <w:rsid w:val="00424047"/>
    <w:rsid w:val="00434D20"/>
    <w:rsid w:val="004623A5"/>
    <w:rsid w:val="00483117"/>
    <w:rsid w:val="004A2B48"/>
    <w:rsid w:val="004B37FD"/>
    <w:rsid w:val="004C71D3"/>
    <w:rsid w:val="005024A0"/>
    <w:rsid w:val="00507029"/>
    <w:rsid w:val="00512709"/>
    <w:rsid w:val="00520C69"/>
    <w:rsid w:val="00522E74"/>
    <w:rsid w:val="0055157D"/>
    <w:rsid w:val="00556D9B"/>
    <w:rsid w:val="00567479"/>
    <w:rsid w:val="005758E7"/>
    <w:rsid w:val="00593512"/>
    <w:rsid w:val="005B6D40"/>
    <w:rsid w:val="005C1A37"/>
    <w:rsid w:val="006050E2"/>
    <w:rsid w:val="0063331F"/>
    <w:rsid w:val="00664C7C"/>
    <w:rsid w:val="00742D37"/>
    <w:rsid w:val="007463FC"/>
    <w:rsid w:val="007528E8"/>
    <w:rsid w:val="0075590E"/>
    <w:rsid w:val="007878B4"/>
    <w:rsid w:val="007A5AC0"/>
    <w:rsid w:val="007B6695"/>
    <w:rsid w:val="007C6C12"/>
    <w:rsid w:val="007E2F46"/>
    <w:rsid w:val="00810C75"/>
    <w:rsid w:val="008D0AD1"/>
    <w:rsid w:val="008E36B9"/>
    <w:rsid w:val="008F4B42"/>
    <w:rsid w:val="009326A4"/>
    <w:rsid w:val="009820F5"/>
    <w:rsid w:val="00A06FB1"/>
    <w:rsid w:val="00A10CAF"/>
    <w:rsid w:val="00A22F9E"/>
    <w:rsid w:val="00A24114"/>
    <w:rsid w:val="00A51002"/>
    <w:rsid w:val="00AA7E18"/>
    <w:rsid w:val="00AE030F"/>
    <w:rsid w:val="00AE3508"/>
    <w:rsid w:val="00B167BE"/>
    <w:rsid w:val="00B335BF"/>
    <w:rsid w:val="00B56B31"/>
    <w:rsid w:val="00B579B4"/>
    <w:rsid w:val="00B73A78"/>
    <w:rsid w:val="00B76E47"/>
    <w:rsid w:val="00B83CF9"/>
    <w:rsid w:val="00B9764C"/>
    <w:rsid w:val="00BC1210"/>
    <w:rsid w:val="00BC483E"/>
    <w:rsid w:val="00BD16F6"/>
    <w:rsid w:val="00C04FBA"/>
    <w:rsid w:val="00C15EDD"/>
    <w:rsid w:val="00C5442D"/>
    <w:rsid w:val="00C96972"/>
    <w:rsid w:val="00CE302F"/>
    <w:rsid w:val="00CE459E"/>
    <w:rsid w:val="00D1297B"/>
    <w:rsid w:val="00DA0713"/>
    <w:rsid w:val="00DA30C1"/>
    <w:rsid w:val="00DE1666"/>
    <w:rsid w:val="00DF78AD"/>
    <w:rsid w:val="00E4759F"/>
    <w:rsid w:val="00EB171C"/>
    <w:rsid w:val="00ED534A"/>
    <w:rsid w:val="00ED7D84"/>
    <w:rsid w:val="00F15D05"/>
    <w:rsid w:val="00F37B4E"/>
    <w:rsid w:val="00F52860"/>
    <w:rsid w:val="00F62C5B"/>
    <w:rsid w:val="00F74CF2"/>
    <w:rsid w:val="00F932AA"/>
    <w:rsid w:val="00F940E0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986BD"/>
  <w15:chartTrackingRefBased/>
  <w15:docId w15:val="{1528809E-C1B9-4F3D-B0B5-1440E7D2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75"/>
  </w:style>
  <w:style w:type="paragraph" w:styleId="Heading1">
    <w:name w:val="heading 1"/>
    <w:basedOn w:val="Normal"/>
    <w:next w:val="Normal"/>
    <w:link w:val="Heading1Char"/>
    <w:uiPriority w:val="9"/>
    <w:qFormat/>
    <w:rsid w:val="0081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C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12"/>
  </w:style>
  <w:style w:type="paragraph" w:styleId="Footer">
    <w:name w:val="footer"/>
    <w:basedOn w:val="Normal"/>
    <w:link w:val="FooterChar"/>
    <w:uiPriority w:val="99"/>
    <w:unhideWhenUsed/>
    <w:rsid w:val="0059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12"/>
  </w:style>
  <w:style w:type="table" w:styleId="TableGrid">
    <w:name w:val="Table Grid"/>
    <w:basedOn w:val="TableNormal"/>
    <w:uiPriority w:val="39"/>
    <w:rsid w:val="005B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E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6E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ionhealth.org/programs/environmental-health/food-and-consumer-safety-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Kaufman</dc:creator>
  <cp:keywords/>
  <dc:description/>
  <cp:lastModifiedBy>Janelle Kaufman</cp:lastModifiedBy>
  <cp:revision>2</cp:revision>
  <cp:lastPrinted>2025-04-23T19:26:00Z</cp:lastPrinted>
  <dcterms:created xsi:type="dcterms:W3CDTF">2025-04-30T14:44:00Z</dcterms:created>
  <dcterms:modified xsi:type="dcterms:W3CDTF">2025-04-30T14:44:00Z</dcterms:modified>
</cp:coreProperties>
</file>